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25" w:rsidRPr="00CC2925" w:rsidRDefault="00CC2925" w:rsidP="00CC2925">
      <w:pPr>
        <w:jc w:val="center"/>
        <w:rPr>
          <w:rFonts w:ascii="Goudy Stout" w:hAnsi="Goudy Stout"/>
        </w:rPr>
      </w:pPr>
      <w:proofErr w:type="spellStart"/>
      <w:proofErr w:type="gramStart"/>
      <w:r>
        <w:rPr>
          <w:rFonts w:ascii="Goudy Stout" w:hAnsi="Goudy Stout"/>
        </w:rPr>
        <w:t>warmup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1053"/>
        <w:gridCol w:w="283"/>
        <w:gridCol w:w="125"/>
        <w:gridCol w:w="236"/>
        <w:gridCol w:w="236"/>
        <w:gridCol w:w="988"/>
        <w:gridCol w:w="1471"/>
        <w:gridCol w:w="1472"/>
        <w:gridCol w:w="1538"/>
      </w:tblGrid>
      <w:tr w:rsidR="00F60896" w:rsidTr="00F11970">
        <w:trPr>
          <w:trHeight w:val="727"/>
        </w:trPr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B2" w:rsidRDefault="009707B2"/>
        </w:tc>
        <w:tc>
          <w:tcPr>
            <w:tcW w:w="5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B2" w:rsidRDefault="009707B2" w:rsidP="009707B2">
            <w:r>
              <w:t xml:space="preserve">These are the same problems that were tough on Tuesday night’s </w:t>
            </w:r>
            <w:proofErr w:type="spellStart"/>
            <w:r>
              <w:t>Mr</w:t>
            </w:r>
            <w:proofErr w:type="spellEnd"/>
            <w:r>
              <w:t xml:space="preserve"> Clean worksheet.  Whether or not you succeeded on those ones, clarify your thinking by following the thinking process here. Do the four steps in order.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7B2" w:rsidRDefault="009707B2"/>
        </w:tc>
      </w:tr>
      <w:tr w:rsidR="00F60896" w:rsidTr="00F11970">
        <w:trPr>
          <w:trHeight w:val="264"/>
        </w:trPr>
        <w:tc>
          <w:tcPr>
            <w:tcW w:w="2174" w:type="dxa"/>
            <w:tcBorders>
              <w:top w:val="nil"/>
              <w:left w:val="nil"/>
              <w:right w:val="nil"/>
            </w:tcBorders>
          </w:tcPr>
          <w:p w:rsidR="009707B2" w:rsidRDefault="009707B2"/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707B2" w:rsidRDefault="009707B2"/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9707B2" w:rsidRDefault="009707B2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7B2" w:rsidRDefault="009707B2"/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707B2" w:rsidRDefault="009707B2"/>
        </w:tc>
        <w:tc>
          <w:tcPr>
            <w:tcW w:w="1538" w:type="dxa"/>
            <w:tcBorders>
              <w:top w:val="nil"/>
              <w:left w:val="nil"/>
              <w:right w:val="nil"/>
            </w:tcBorders>
          </w:tcPr>
          <w:p w:rsidR="009707B2" w:rsidRDefault="009707B2"/>
        </w:tc>
      </w:tr>
      <w:tr w:rsidR="00F60896" w:rsidTr="00F11970">
        <w:trPr>
          <w:trHeight w:val="68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9707B2" w:rsidRDefault="009707B2">
            <w:r>
              <w:t xml:space="preserve">(1) </w:t>
            </w:r>
            <w:r w:rsidRPr="009707B2">
              <w:rPr>
                <w:i/>
              </w:rPr>
              <w:t>Read the Story Problem</w:t>
            </w:r>
            <w:r>
              <w:t>:</w:t>
            </w:r>
          </w:p>
          <w:p w:rsidR="00F11970" w:rsidRDefault="00F11970" w:rsidP="00F11970">
            <w:pPr>
              <w:numPr>
                <w:ilvl w:val="0"/>
                <w:numId w:val="1"/>
              </w:numPr>
            </w:pPr>
            <w:r>
              <w:t>What volume of 0.200 M hydrochloric acid solution is needed to neutralize 25.0 mL of 0.150 M sodium hydroxide solution?</w:t>
            </w:r>
            <w:r w:rsidRPr="00B40327">
              <w:rPr>
                <w:b/>
              </w:rPr>
              <w:t>(this was #5 on last night’s homework)</w:t>
            </w:r>
          </w:p>
          <w:p w:rsidR="00F11970" w:rsidRDefault="00F11970"/>
        </w:tc>
        <w:tc>
          <w:tcPr>
            <w:tcW w:w="283" w:type="dxa"/>
            <w:tcBorders>
              <w:top w:val="nil"/>
              <w:bottom w:val="nil"/>
            </w:tcBorders>
          </w:tcPr>
          <w:p w:rsidR="009707B2" w:rsidRDefault="009707B2"/>
        </w:tc>
        <w:tc>
          <w:tcPr>
            <w:tcW w:w="6066" w:type="dxa"/>
            <w:gridSpan w:val="7"/>
            <w:tcBorders>
              <w:bottom w:val="single" w:sz="4" w:space="0" w:color="auto"/>
            </w:tcBorders>
          </w:tcPr>
          <w:p w:rsidR="009707B2" w:rsidRPr="00A846EC" w:rsidRDefault="009707B2">
            <w:pPr>
              <w:rPr>
                <w:i/>
                <w:sz w:val="16"/>
                <w:szCs w:val="16"/>
              </w:rPr>
            </w:pPr>
            <w:r w:rsidRPr="00A846EC">
              <w:rPr>
                <w:sz w:val="16"/>
                <w:szCs w:val="16"/>
              </w:rPr>
              <w:t>(2)</w:t>
            </w:r>
            <w:r w:rsidRPr="00A846EC">
              <w:rPr>
                <w:i/>
                <w:sz w:val="16"/>
                <w:szCs w:val="16"/>
              </w:rPr>
              <w:t>Here, fix any inconvenient units.</w:t>
            </w:r>
          </w:p>
          <w:p w:rsidR="009707B2" w:rsidRPr="00A846EC" w:rsidRDefault="009707B2" w:rsidP="00A846EC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proofErr w:type="gramStart"/>
            <w:r w:rsidRPr="00A846EC">
              <w:rPr>
                <w:i/>
                <w:sz w:val="16"/>
                <w:szCs w:val="16"/>
              </w:rPr>
              <w:t>mL</w:t>
            </w:r>
            <w:proofErr w:type="gramEnd"/>
            <w:r w:rsidRPr="00A846EC">
              <w:rPr>
                <w:i/>
                <w:sz w:val="16"/>
                <w:szCs w:val="16"/>
              </w:rPr>
              <w:t xml:space="preserve"> to L get fixed by jumping the decimal 3 places to the left.</w:t>
            </w:r>
          </w:p>
          <w:p w:rsidR="009707B2" w:rsidRPr="00A846EC" w:rsidRDefault="009707B2" w:rsidP="00A846E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846EC">
              <w:rPr>
                <w:i/>
                <w:sz w:val="16"/>
                <w:szCs w:val="16"/>
              </w:rPr>
              <w:t>Concentrations like 0.15 M should be rewritten as</w:t>
            </w:r>
            <w:r w:rsidRPr="00A846EC">
              <w:rPr>
                <w:sz w:val="16"/>
                <w:szCs w:val="1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0.15 moles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 liter</m:t>
                  </m:r>
                </m:den>
              </m:f>
            </m:oMath>
          </w:p>
        </w:tc>
      </w:tr>
      <w:tr w:rsidR="00F60896" w:rsidTr="00F11970">
        <w:trPr>
          <w:trHeight w:val="291"/>
        </w:trPr>
        <w:tc>
          <w:tcPr>
            <w:tcW w:w="2174" w:type="dxa"/>
            <w:tcBorders>
              <w:left w:val="nil"/>
              <w:bottom w:val="nil"/>
              <w:right w:val="nil"/>
            </w:tcBorders>
          </w:tcPr>
          <w:p w:rsidR="009707B2" w:rsidRDefault="009707B2"/>
        </w:tc>
        <w:tc>
          <w:tcPr>
            <w:tcW w:w="1461" w:type="dxa"/>
            <w:gridSpan w:val="3"/>
            <w:tcBorders>
              <w:left w:val="nil"/>
              <w:right w:val="nil"/>
            </w:tcBorders>
          </w:tcPr>
          <w:p w:rsidR="009707B2" w:rsidRDefault="009707B2"/>
        </w:tc>
        <w:tc>
          <w:tcPr>
            <w:tcW w:w="236" w:type="dxa"/>
            <w:tcBorders>
              <w:left w:val="nil"/>
              <w:right w:val="nil"/>
            </w:tcBorders>
          </w:tcPr>
          <w:p w:rsidR="009707B2" w:rsidRDefault="009707B2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707B2" w:rsidRDefault="009707B2"/>
        </w:tc>
        <w:tc>
          <w:tcPr>
            <w:tcW w:w="3931" w:type="dxa"/>
            <w:gridSpan w:val="3"/>
            <w:tcBorders>
              <w:left w:val="nil"/>
              <w:right w:val="nil"/>
            </w:tcBorders>
          </w:tcPr>
          <w:p w:rsidR="009707B2" w:rsidRDefault="009707B2"/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9707B2" w:rsidRDefault="009707B2"/>
        </w:tc>
      </w:tr>
      <w:tr w:rsidR="00F60896" w:rsidTr="00F11970">
        <w:trPr>
          <w:trHeight w:val="680"/>
        </w:trPr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B2" w:rsidRDefault="009707B2"/>
        </w:tc>
        <w:tc>
          <w:tcPr>
            <w:tcW w:w="586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07B2" w:rsidRPr="00A846EC" w:rsidRDefault="009707B2">
            <w:pPr>
              <w:rPr>
                <w:i/>
                <w:sz w:val="16"/>
                <w:szCs w:val="16"/>
              </w:rPr>
            </w:pPr>
            <w:r w:rsidRPr="00A846EC">
              <w:rPr>
                <w:sz w:val="16"/>
                <w:szCs w:val="16"/>
              </w:rPr>
              <w:t xml:space="preserve">(3) </w:t>
            </w:r>
            <w:r w:rsidRPr="00A846EC">
              <w:rPr>
                <w:i/>
                <w:sz w:val="16"/>
                <w:szCs w:val="16"/>
              </w:rPr>
              <w:t xml:space="preserve">Here, balance the reaction.  </w:t>
            </w:r>
          </w:p>
          <w:p w:rsidR="009707B2" w:rsidRPr="00A846EC" w:rsidRDefault="009707B2">
            <w:pPr>
              <w:rPr>
                <w:i/>
                <w:sz w:val="16"/>
                <w:szCs w:val="16"/>
              </w:rPr>
            </w:pPr>
            <w:r w:rsidRPr="00A846EC">
              <w:rPr>
                <w:i/>
                <w:sz w:val="16"/>
                <w:szCs w:val="16"/>
              </w:rPr>
              <w:t xml:space="preserve">You know acid + base </w:t>
            </w:r>
            <w:r w:rsidRPr="00A846EC">
              <w:rPr>
                <w:i/>
                <w:sz w:val="16"/>
                <w:szCs w:val="16"/>
              </w:rPr>
              <w:sym w:font="Wingdings" w:char="F0E0"/>
            </w:r>
            <w:r w:rsidRPr="00A846EC">
              <w:rPr>
                <w:i/>
                <w:sz w:val="16"/>
                <w:szCs w:val="16"/>
              </w:rPr>
              <w:t xml:space="preserve"> water + salt</w:t>
            </w:r>
          </w:p>
          <w:p w:rsidR="009707B2" w:rsidRPr="00A846EC" w:rsidRDefault="009707B2">
            <w:pPr>
              <w:rPr>
                <w:i/>
                <w:sz w:val="16"/>
                <w:szCs w:val="16"/>
              </w:rPr>
            </w:pPr>
            <w:r w:rsidRPr="00A846EC">
              <w:rPr>
                <w:i/>
                <w:sz w:val="16"/>
                <w:szCs w:val="16"/>
              </w:rPr>
              <w:t>Make sure your charge on the salt makes it neutral.  Look at a cheat sheet for the ion charges.</w:t>
            </w:r>
          </w:p>
          <w:p w:rsidR="009707B2" w:rsidRDefault="009707B2"/>
          <w:p w:rsidR="009707B2" w:rsidRDefault="009707B2"/>
          <w:p w:rsidR="009707B2" w:rsidRDefault="009707B2" w:rsidP="009707B2">
            <w:pPr>
              <w:jc w:val="center"/>
            </w:pPr>
            <w:r>
              <w:t xml:space="preserve">________  +  __________  </w:t>
            </w:r>
            <w:r>
              <w:sym w:font="Wingdings" w:char="F0E0"/>
            </w:r>
            <w:r>
              <w:t xml:space="preserve">  _________  +  __________</w:t>
            </w:r>
          </w:p>
          <w:p w:rsidR="009707B2" w:rsidRDefault="009707B2"/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7B2" w:rsidRDefault="009707B2"/>
        </w:tc>
      </w:tr>
      <w:tr w:rsidR="00F60896" w:rsidTr="00A846EC">
        <w:trPr>
          <w:trHeight w:val="149"/>
        </w:trPr>
        <w:tc>
          <w:tcPr>
            <w:tcW w:w="2174" w:type="dxa"/>
            <w:tcBorders>
              <w:top w:val="nil"/>
              <w:left w:val="nil"/>
              <w:right w:val="nil"/>
            </w:tcBorders>
          </w:tcPr>
          <w:p w:rsidR="009707B2" w:rsidRDefault="009707B2"/>
        </w:tc>
        <w:tc>
          <w:tcPr>
            <w:tcW w:w="14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707B2" w:rsidRDefault="009707B2"/>
        </w:tc>
        <w:tc>
          <w:tcPr>
            <w:tcW w:w="14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707B2" w:rsidRDefault="009707B2"/>
        </w:tc>
        <w:tc>
          <w:tcPr>
            <w:tcW w:w="1471" w:type="dxa"/>
            <w:tcBorders>
              <w:left w:val="nil"/>
              <w:bottom w:val="single" w:sz="4" w:space="0" w:color="auto"/>
              <w:right w:val="nil"/>
            </w:tcBorders>
          </w:tcPr>
          <w:p w:rsidR="009707B2" w:rsidRDefault="009707B2"/>
        </w:tc>
        <w:tc>
          <w:tcPr>
            <w:tcW w:w="1472" w:type="dxa"/>
            <w:tcBorders>
              <w:left w:val="nil"/>
              <w:bottom w:val="single" w:sz="4" w:space="0" w:color="auto"/>
              <w:right w:val="nil"/>
            </w:tcBorders>
          </w:tcPr>
          <w:p w:rsidR="009707B2" w:rsidRDefault="009707B2"/>
        </w:tc>
        <w:tc>
          <w:tcPr>
            <w:tcW w:w="1538" w:type="dxa"/>
            <w:tcBorders>
              <w:left w:val="nil"/>
              <w:bottom w:val="single" w:sz="4" w:space="0" w:color="auto"/>
              <w:right w:val="nil"/>
            </w:tcBorders>
          </w:tcPr>
          <w:p w:rsidR="009707B2" w:rsidRDefault="009707B2"/>
        </w:tc>
      </w:tr>
      <w:tr w:rsidR="00F60896" w:rsidTr="00A846EC">
        <w:trPr>
          <w:trHeight w:val="2845"/>
        </w:trPr>
        <w:tc>
          <w:tcPr>
            <w:tcW w:w="2174" w:type="dxa"/>
            <w:shd w:val="clear" w:color="auto" w:fill="A6A6A6" w:themeFill="background1" w:themeFillShade="A6"/>
          </w:tcPr>
          <w:p w:rsidR="009707B2" w:rsidRDefault="007636A2">
            <w:r>
              <w:t xml:space="preserve">(5) If one volume is given, write it at the far left of your box </w:t>
            </w:r>
            <w:r>
              <w:sym w:font="Wingdings" w:char="F0E0"/>
            </w:r>
          </w:p>
          <w:p w:rsidR="007636A2" w:rsidRDefault="007636A2">
            <w:r>
              <w:t>If TWO volumes are known, write them as</w:t>
            </w:r>
          </w:p>
          <w:p w:rsidR="007636A2" w:rsidRDefault="007636A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volume of the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known substance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volume of the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unknown substance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5864" w:type="dxa"/>
            <w:gridSpan w:val="8"/>
            <w:tcBorders>
              <w:right w:val="nil"/>
            </w:tcBorders>
            <w:vAlign w:val="center"/>
          </w:tcPr>
          <w:p w:rsidR="009707B2" w:rsidRPr="00A846EC" w:rsidRDefault="00A846EC" w:rsidP="00A846EC">
            <w:pPr>
              <w:jc w:val="right"/>
              <w:rPr>
                <w:sz w:val="40"/>
                <w:szCs w:val="40"/>
              </w:rPr>
            </w:pPr>
            <w:r w:rsidRPr="00A846EC">
              <w:rPr>
                <w:sz w:val="40"/>
                <w:szCs w:val="40"/>
              </w:rPr>
              <w:t>=</w:t>
            </w:r>
          </w:p>
        </w:tc>
        <w:tc>
          <w:tcPr>
            <w:tcW w:w="1538" w:type="dxa"/>
            <w:tcBorders>
              <w:left w:val="nil"/>
            </w:tcBorders>
          </w:tcPr>
          <w:p w:rsidR="009707B2" w:rsidRPr="00A846EC" w:rsidRDefault="007636A2">
            <w:pPr>
              <w:rPr>
                <w:i/>
                <w:sz w:val="16"/>
                <w:szCs w:val="16"/>
              </w:rPr>
            </w:pPr>
            <w:r w:rsidRPr="00A846EC">
              <w:rPr>
                <w:sz w:val="16"/>
                <w:szCs w:val="16"/>
              </w:rPr>
              <w:t xml:space="preserve">(4) </w:t>
            </w:r>
            <w:r w:rsidR="009707B2" w:rsidRPr="00A846EC">
              <w:rPr>
                <w:i/>
                <w:sz w:val="16"/>
                <w:szCs w:val="16"/>
              </w:rPr>
              <w:t xml:space="preserve">Write the answer unit </w:t>
            </w:r>
            <w:r w:rsidR="009707B2" w:rsidRPr="00A846EC">
              <w:rPr>
                <w:b/>
                <w:i/>
                <w:sz w:val="16"/>
                <w:szCs w:val="16"/>
                <w:u w:val="single"/>
              </w:rPr>
              <w:t>and</w:t>
            </w:r>
            <w:r w:rsidR="009707B2" w:rsidRPr="00A846EC">
              <w:rPr>
                <w:i/>
                <w:sz w:val="16"/>
                <w:szCs w:val="16"/>
              </w:rPr>
              <w:t xml:space="preserve"> formula</w:t>
            </w:r>
          </w:p>
        </w:tc>
      </w:tr>
    </w:tbl>
    <w:p w:rsidR="00CC2925" w:rsidRDefault="00CC2925"/>
    <w:p w:rsidR="00F11970" w:rsidRDefault="00F11970">
      <w:r>
        <w:br w:type="page"/>
      </w:r>
    </w:p>
    <w:p w:rsidR="00F11970" w:rsidRPr="00CC2925" w:rsidRDefault="00F11970" w:rsidP="00F11970">
      <w:pPr>
        <w:jc w:val="center"/>
        <w:rPr>
          <w:rFonts w:ascii="Goudy Stout" w:hAnsi="Goudy Stout"/>
        </w:rPr>
      </w:pPr>
      <w:r>
        <w:rPr>
          <w:rFonts w:ascii="Goudy Stout" w:hAnsi="Goudy Stout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1053"/>
        <w:gridCol w:w="283"/>
        <w:gridCol w:w="125"/>
        <w:gridCol w:w="236"/>
        <w:gridCol w:w="236"/>
        <w:gridCol w:w="988"/>
        <w:gridCol w:w="1471"/>
        <w:gridCol w:w="1055"/>
        <w:gridCol w:w="417"/>
        <w:gridCol w:w="1538"/>
      </w:tblGrid>
      <w:tr w:rsidR="00F11970" w:rsidTr="00743E12">
        <w:trPr>
          <w:trHeight w:val="727"/>
        </w:trPr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970" w:rsidRDefault="00F11970" w:rsidP="00743E12"/>
        </w:tc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0" w:rsidRDefault="00F11970" w:rsidP="00743E12">
            <w:r>
              <w:t xml:space="preserve">These are the same problems that were tough on Tuesday night’s </w:t>
            </w:r>
            <w:proofErr w:type="spellStart"/>
            <w:r>
              <w:t>Mr</w:t>
            </w:r>
            <w:proofErr w:type="spellEnd"/>
            <w:r>
              <w:t xml:space="preserve"> Clean worksheet.  Whether or not you succeeded on those ones, clarify your thinking by following the thinking process here. Do the four steps in order.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70" w:rsidRDefault="00F11970" w:rsidP="00743E12"/>
        </w:tc>
      </w:tr>
      <w:tr w:rsidR="00F11970" w:rsidTr="00743E12">
        <w:trPr>
          <w:trHeight w:val="264"/>
        </w:trPr>
        <w:tc>
          <w:tcPr>
            <w:tcW w:w="2174" w:type="dxa"/>
            <w:tcBorders>
              <w:top w:val="nil"/>
              <w:left w:val="nil"/>
              <w:right w:val="nil"/>
            </w:tcBorders>
          </w:tcPr>
          <w:p w:rsidR="00F11970" w:rsidRDefault="00F11970" w:rsidP="00743E12"/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11970" w:rsidRDefault="00F11970" w:rsidP="00743E12"/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F11970" w:rsidRDefault="00F11970" w:rsidP="00743E12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970" w:rsidRDefault="00F11970" w:rsidP="00743E12"/>
        </w:tc>
        <w:tc>
          <w:tcPr>
            <w:tcW w:w="393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11970" w:rsidRDefault="00F11970" w:rsidP="00743E12"/>
        </w:tc>
        <w:tc>
          <w:tcPr>
            <w:tcW w:w="1538" w:type="dxa"/>
            <w:tcBorders>
              <w:top w:val="nil"/>
              <w:left w:val="nil"/>
              <w:right w:val="nil"/>
            </w:tcBorders>
          </w:tcPr>
          <w:p w:rsidR="00F11970" w:rsidRDefault="00F11970" w:rsidP="00743E12"/>
        </w:tc>
      </w:tr>
      <w:tr w:rsidR="00F11970" w:rsidTr="00B40327">
        <w:trPr>
          <w:trHeight w:val="68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F11970" w:rsidRDefault="00F11970" w:rsidP="00743E12">
            <w:r>
              <w:t xml:space="preserve">(1) </w:t>
            </w:r>
            <w:r w:rsidRPr="00B40327">
              <w:rPr>
                <w:i/>
                <w:sz w:val="16"/>
                <w:szCs w:val="16"/>
              </w:rPr>
              <w:t>Read the Story Problem</w:t>
            </w:r>
            <w:r w:rsidRPr="00B40327">
              <w:rPr>
                <w:sz w:val="16"/>
                <w:szCs w:val="16"/>
              </w:rPr>
              <w:t>:</w:t>
            </w:r>
          </w:p>
          <w:p w:rsidR="00F11970" w:rsidRDefault="00F11970" w:rsidP="00B40327">
            <w:r>
              <w:t xml:space="preserve"> </w:t>
            </w:r>
            <w:r w:rsidRPr="00F11970">
              <w:t xml:space="preserve">If 335 mL of a 0.20 M solution of </w:t>
            </w:r>
            <w:proofErr w:type="gramStart"/>
            <w:r w:rsidRPr="00F11970">
              <w:t>Ca(</w:t>
            </w:r>
            <w:proofErr w:type="gramEnd"/>
            <w:r w:rsidRPr="00F11970">
              <w:t>OH)</w:t>
            </w:r>
            <w:r w:rsidRPr="00F11970">
              <w:rPr>
                <w:vertAlign w:val="subscript"/>
              </w:rPr>
              <w:t>2</w:t>
            </w:r>
            <w:r w:rsidRPr="00F11970">
              <w:t xml:space="preserve"> is required to titrate 450.0 mL of </w:t>
            </w:r>
            <w:proofErr w:type="spellStart"/>
            <w:r w:rsidRPr="00F11970">
              <w:t>HBr</w:t>
            </w:r>
            <w:proofErr w:type="spellEnd"/>
            <w:r w:rsidRPr="00F11970">
              <w:t>, what is the concentration of the acid solution?</w:t>
            </w:r>
            <w:r w:rsidR="00B40327">
              <w:t xml:space="preserve"> </w:t>
            </w:r>
            <w:r w:rsidR="00B40327" w:rsidRPr="00B40327">
              <w:rPr>
                <w:b/>
              </w:rPr>
              <w:t>(This was #11 on last night’s homework).</w:t>
            </w:r>
          </w:p>
          <w:p w:rsidR="00F11970" w:rsidRDefault="00F11970" w:rsidP="00743E12"/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F11970" w:rsidRDefault="00F11970" w:rsidP="00743E12"/>
        </w:tc>
        <w:tc>
          <w:tcPr>
            <w:tcW w:w="6066" w:type="dxa"/>
            <w:gridSpan w:val="8"/>
            <w:tcBorders>
              <w:bottom w:val="single" w:sz="4" w:space="0" w:color="auto"/>
            </w:tcBorders>
          </w:tcPr>
          <w:p w:rsidR="00F11970" w:rsidRPr="00B40327" w:rsidRDefault="00F11970" w:rsidP="00743E12">
            <w:pPr>
              <w:rPr>
                <w:i/>
                <w:sz w:val="16"/>
                <w:szCs w:val="16"/>
              </w:rPr>
            </w:pPr>
            <w:r w:rsidRPr="00B40327">
              <w:rPr>
                <w:sz w:val="16"/>
                <w:szCs w:val="16"/>
              </w:rPr>
              <w:t>(2)</w:t>
            </w:r>
            <w:r w:rsidRPr="00B40327">
              <w:rPr>
                <w:i/>
                <w:sz w:val="16"/>
                <w:szCs w:val="16"/>
              </w:rPr>
              <w:t>Here, fix any inconvenient units.</w:t>
            </w:r>
          </w:p>
          <w:p w:rsidR="00F11970" w:rsidRPr="00B40327" w:rsidRDefault="00F11970" w:rsidP="00743E12">
            <w:pPr>
              <w:rPr>
                <w:i/>
                <w:sz w:val="16"/>
                <w:szCs w:val="16"/>
              </w:rPr>
            </w:pPr>
            <w:proofErr w:type="gramStart"/>
            <w:r w:rsidRPr="00B40327">
              <w:rPr>
                <w:i/>
                <w:sz w:val="16"/>
                <w:szCs w:val="16"/>
              </w:rPr>
              <w:t>mL</w:t>
            </w:r>
            <w:proofErr w:type="gramEnd"/>
            <w:r w:rsidRPr="00B40327">
              <w:rPr>
                <w:i/>
                <w:sz w:val="16"/>
                <w:szCs w:val="16"/>
              </w:rPr>
              <w:t xml:space="preserve"> to L get fixed by jumping the decimal 3 places to the left.</w:t>
            </w:r>
          </w:p>
          <w:p w:rsidR="00F11970" w:rsidRDefault="00F11970" w:rsidP="00743E12">
            <w:r w:rsidRPr="00B40327">
              <w:rPr>
                <w:i/>
                <w:sz w:val="16"/>
                <w:szCs w:val="16"/>
              </w:rPr>
              <w:t>Concentrations like 0.15 M should be rewritten as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0.15 moles</m:t>
                  </m:r>
                </m:num>
                <m:den>
                  <m:r>
                    <w:rPr>
                      <w:rFonts w:ascii="Cambria Math" w:hAnsi="Cambria Math"/>
                    </w:rPr>
                    <m:t>1 liter</m:t>
                  </m:r>
                </m:den>
              </m:f>
            </m:oMath>
          </w:p>
        </w:tc>
      </w:tr>
      <w:tr w:rsidR="00F11970" w:rsidTr="00B40327">
        <w:trPr>
          <w:trHeight w:val="291"/>
        </w:trPr>
        <w:tc>
          <w:tcPr>
            <w:tcW w:w="2174" w:type="dxa"/>
            <w:tcBorders>
              <w:left w:val="nil"/>
              <w:bottom w:val="nil"/>
              <w:right w:val="nil"/>
            </w:tcBorders>
          </w:tcPr>
          <w:p w:rsidR="00F11970" w:rsidRDefault="00F11970" w:rsidP="00743E12"/>
        </w:tc>
        <w:tc>
          <w:tcPr>
            <w:tcW w:w="1461" w:type="dxa"/>
            <w:gridSpan w:val="3"/>
            <w:tcBorders>
              <w:left w:val="nil"/>
              <w:right w:val="nil"/>
            </w:tcBorders>
          </w:tcPr>
          <w:p w:rsidR="00F11970" w:rsidRDefault="00F11970" w:rsidP="00743E12"/>
        </w:tc>
        <w:tc>
          <w:tcPr>
            <w:tcW w:w="236" w:type="dxa"/>
            <w:tcBorders>
              <w:left w:val="nil"/>
              <w:right w:val="nil"/>
            </w:tcBorders>
          </w:tcPr>
          <w:p w:rsidR="00F11970" w:rsidRDefault="00F11970" w:rsidP="00743E12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11970" w:rsidRDefault="00F11970" w:rsidP="00743E12"/>
        </w:tc>
        <w:tc>
          <w:tcPr>
            <w:tcW w:w="3514" w:type="dxa"/>
            <w:gridSpan w:val="3"/>
            <w:tcBorders>
              <w:left w:val="nil"/>
              <w:right w:val="nil"/>
            </w:tcBorders>
          </w:tcPr>
          <w:p w:rsidR="00F11970" w:rsidRDefault="00F11970" w:rsidP="00743E12"/>
        </w:tc>
        <w:tc>
          <w:tcPr>
            <w:tcW w:w="1955" w:type="dxa"/>
            <w:gridSpan w:val="2"/>
            <w:tcBorders>
              <w:left w:val="nil"/>
              <w:bottom w:val="nil"/>
              <w:right w:val="nil"/>
            </w:tcBorders>
          </w:tcPr>
          <w:p w:rsidR="00F11970" w:rsidRDefault="00F11970" w:rsidP="00743E12"/>
        </w:tc>
      </w:tr>
      <w:tr w:rsidR="00F11970" w:rsidTr="00B40327">
        <w:trPr>
          <w:trHeight w:val="680"/>
        </w:trPr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970" w:rsidRDefault="00F11970" w:rsidP="00743E12"/>
        </w:tc>
        <w:tc>
          <w:tcPr>
            <w:tcW w:w="54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11970" w:rsidRPr="00B40327" w:rsidRDefault="00F11970" w:rsidP="00743E12">
            <w:pPr>
              <w:rPr>
                <w:i/>
                <w:sz w:val="16"/>
                <w:szCs w:val="16"/>
              </w:rPr>
            </w:pPr>
            <w:r w:rsidRPr="00B40327">
              <w:rPr>
                <w:sz w:val="16"/>
                <w:szCs w:val="16"/>
              </w:rPr>
              <w:t xml:space="preserve">(3) </w:t>
            </w:r>
            <w:r w:rsidRPr="00B40327">
              <w:rPr>
                <w:i/>
                <w:sz w:val="16"/>
                <w:szCs w:val="16"/>
              </w:rPr>
              <w:t xml:space="preserve">Here, balance the reaction.  </w:t>
            </w:r>
          </w:p>
          <w:p w:rsidR="00F11970" w:rsidRPr="00B40327" w:rsidRDefault="00F11970" w:rsidP="00743E12">
            <w:pPr>
              <w:rPr>
                <w:i/>
                <w:sz w:val="16"/>
                <w:szCs w:val="16"/>
              </w:rPr>
            </w:pPr>
            <w:r w:rsidRPr="00B40327">
              <w:rPr>
                <w:i/>
                <w:sz w:val="16"/>
                <w:szCs w:val="16"/>
              </w:rPr>
              <w:t xml:space="preserve">You know acid + base </w:t>
            </w:r>
            <w:r w:rsidRPr="00B40327">
              <w:rPr>
                <w:i/>
                <w:sz w:val="16"/>
                <w:szCs w:val="16"/>
              </w:rPr>
              <w:sym w:font="Wingdings" w:char="F0E0"/>
            </w:r>
            <w:r w:rsidRPr="00B40327">
              <w:rPr>
                <w:i/>
                <w:sz w:val="16"/>
                <w:szCs w:val="16"/>
              </w:rPr>
              <w:t xml:space="preserve"> water + salt</w:t>
            </w:r>
          </w:p>
          <w:p w:rsidR="00F11970" w:rsidRPr="00B40327" w:rsidRDefault="00F11970" w:rsidP="00743E12">
            <w:pPr>
              <w:rPr>
                <w:i/>
                <w:sz w:val="16"/>
                <w:szCs w:val="16"/>
              </w:rPr>
            </w:pPr>
            <w:r w:rsidRPr="00B40327">
              <w:rPr>
                <w:i/>
                <w:sz w:val="16"/>
                <w:szCs w:val="16"/>
              </w:rPr>
              <w:t>Make sure your charge on the salt makes it neutral.  Look at a cheat sheet for the ion charges.</w:t>
            </w:r>
          </w:p>
          <w:p w:rsidR="00F11970" w:rsidRDefault="00F11970" w:rsidP="00743E12"/>
          <w:p w:rsidR="00F11970" w:rsidRDefault="00F11970" w:rsidP="00743E12"/>
          <w:p w:rsidR="00F11970" w:rsidRDefault="00F11970" w:rsidP="00743E12">
            <w:pPr>
              <w:jc w:val="center"/>
            </w:pPr>
            <w:r>
              <w:t xml:space="preserve">________  +  __________  </w:t>
            </w:r>
            <w:r>
              <w:sym w:font="Wingdings" w:char="F0E0"/>
            </w:r>
            <w:r>
              <w:t xml:space="preserve">  _________  +  __________</w:t>
            </w:r>
          </w:p>
          <w:p w:rsidR="00F11970" w:rsidRDefault="00F11970" w:rsidP="00743E12"/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70" w:rsidRDefault="00F11970" w:rsidP="00743E12"/>
        </w:tc>
      </w:tr>
      <w:tr w:rsidR="00F11970" w:rsidTr="00A846EC">
        <w:trPr>
          <w:trHeight w:val="149"/>
        </w:trPr>
        <w:tc>
          <w:tcPr>
            <w:tcW w:w="2174" w:type="dxa"/>
            <w:tcBorders>
              <w:top w:val="nil"/>
              <w:left w:val="nil"/>
              <w:right w:val="nil"/>
            </w:tcBorders>
          </w:tcPr>
          <w:p w:rsidR="00F11970" w:rsidRDefault="00F11970" w:rsidP="00743E12"/>
        </w:tc>
        <w:tc>
          <w:tcPr>
            <w:tcW w:w="14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11970" w:rsidRDefault="00F11970" w:rsidP="00743E12"/>
        </w:tc>
        <w:tc>
          <w:tcPr>
            <w:tcW w:w="14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11970" w:rsidRDefault="00F11970" w:rsidP="00743E12"/>
        </w:tc>
        <w:tc>
          <w:tcPr>
            <w:tcW w:w="1471" w:type="dxa"/>
            <w:tcBorders>
              <w:left w:val="nil"/>
              <w:bottom w:val="single" w:sz="4" w:space="0" w:color="auto"/>
              <w:right w:val="nil"/>
            </w:tcBorders>
          </w:tcPr>
          <w:p w:rsidR="00F11970" w:rsidRDefault="00F11970" w:rsidP="00743E12"/>
        </w:tc>
        <w:tc>
          <w:tcPr>
            <w:tcW w:w="1055" w:type="dxa"/>
            <w:tcBorders>
              <w:left w:val="nil"/>
              <w:bottom w:val="single" w:sz="4" w:space="0" w:color="auto"/>
              <w:right w:val="nil"/>
            </w:tcBorders>
          </w:tcPr>
          <w:p w:rsidR="00F11970" w:rsidRDefault="00F11970" w:rsidP="00743E12"/>
        </w:tc>
        <w:tc>
          <w:tcPr>
            <w:tcW w:w="19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11970" w:rsidRDefault="00F11970" w:rsidP="00743E12"/>
        </w:tc>
      </w:tr>
      <w:tr w:rsidR="00F11970" w:rsidTr="00A846EC">
        <w:trPr>
          <w:trHeight w:val="3115"/>
        </w:trPr>
        <w:tc>
          <w:tcPr>
            <w:tcW w:w="2174" w:type="dxa"/>
            <w:shd w:val="clear" w:color="auto" w:fill="A6A6A6" w:themeFill="background1" w:themeFillShade="A6"/>
            <w:vAlign w:val="center"/>
          </w:tcPr>
          <w:p w:rsidR="00F11970" w:rsidRDefault="00F11970" w:rsidP="00AB5DFF">
            <w:r>
              <w:t xml:space="preserve">(5) If one volume is given, write it at the far left of your box </w:t>
            </w:r>
            <w:r>
              <w:sym w:font="Wingdings" w:char="F0E0"/>
            </w:r>
          </w:p>
          <w:p w:rsidR="00F11970" w:rsidRDefault="00F11970" w:rsidP="00AB5DFF">
            <w:r>
              <w:t>If TWO volumes are known, write them as</w:t>
            </w:r>
          </w:p>
          <w:p w:rsidR="00F11970" w:rsidRDefault="00F11970" w:rsidP="00AB5DF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volume of the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known substance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volume of the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unknown substance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5447" w:type="dxa"/>
            <w:gridSpan w:val="8"/>
            <w:tcBorders>
              <w:right w:val="nil"/>
            </w:tcBorders>
            <w:vAlign w:val="center"/>
          </w:tcPr>
          <w:p w:rsidR="00F11970" w:rsidRPr="00B40327" w:rsidRDefault="00B40327" w:rsidP="00B40327">
            <w:pPr>
              <w:jc w:val="right"/>
              <w:rPr>
                <w:sz w:val="44"/>
                <w:szCs w:val="44"/>
              </w:rPr>
            </w:pPr>
            <w:bookmarkStart w:id="0" w:name="_GoBack"/>
            <w:bookmarkEnd w:id="0"/>
            <w:r w:rsidRPr="00B40327">
              <w:rPr>
                <w:sz w:val="44"/>
                <w:szCs w:val="44"/>
              </w:rPr>
              <w:t>=</w:t>
            </w:r>
          </w:p>
        </w:tc>
        <w:tc>
          <w:tcPr>
            <w:tcW w:w="1955" w:type="dxa"/>
            <w:gridSpan w:val="2"/>
            <w:tcBorders>
              <w:left w:val="nil"/>
            </w:tcBorders>
          </w:tcPr>
          <w:p w:rsidR="00F11970" w:rsidRPr="00B40327" w:rsidRDefault="00F11970" w:rsidP="00743E12">
            <w:pPr>
              <w:rPr>
                <w:i/>
                <w:sz w:val="16"/>
                <w:szCs w:val="16"/>
              </w:rPr>
            </w:pPr>
            <w:r w:rsidRPr="00B40327">
              <w:rPr>
                <w:sz w:val="16"/>
                <w:szCs w:val="16"/>
              </w:rPr>
              <w:t xml:space="preserve">(4) </w:t>
            </w:r>
            <w:r w:rsidRPr="00B40327">
              <w:rPr>
                <w:i/>
                <w:sz w:val="16"/>
                <w:szCs w:val="16"/>
              </w:rPr>
              <w:t xml:space="preserve">Write the answer unit </w:t>
            </w:r>
            <w:r w:rsidRPr="00B40327">
              <w:rPr>
                <w:b/>
                <w:i/>
                <w:sz w:val="16"/>
                <w:szCs w:val="16"/>
                <w:u w:val="single"/>
              </w:rPr>
              <w:t>and</w:t>
            </w:r>
            <w:r w:rsidRPr="00B40327">
              <w:rPr>
                <w:i/>
                <w:sz w:val="16"/>
                <w:szCs w:val="16"/>
              </w:rPr>
              <w:t xml:space="preserve"> formula</w:t>
            </w:r>
            <w:r w:rsidR="00B40327" w:rsidRPr="00B40327">
              <w:rPr>
                <w:i/>
                <w:sz w:val="16"/>
                <w:szCs w:val="16"/>
              </w:rPr>
              <w:t xml:space="preserve"> after the equals sign.  This is your goal!</w:t>
            </w:r>
          </w:p>
        </w:tc>
      </w:tr>
    </w:tbl>
    <w:p w:rsidR="00F11970" w:rsidRDefault="00F11970" w:rsidP="00F11970"/>
    <w:p w:rsidR="00F11970" w:rsidRDefault="00AB5DFF" w:rsidP="00F11970">
      <w:r>
        <w:t>Done early?  Use the above steps to solve #12 from last night.  If you can do this, you’re in okay shape for Friday’s titration problems on the test.</w:t>
      </w:r>
    </w:p>
    <w:p w:rsidR="00AB5DFF" w:rsidRPr="00AB5DFF" w:rsidRDefault="00AB5DFF" w:rsidP="00AB5DFF">
      <w:pPr>
        <w:numPr>
          <w:ilvl w:val="0"/>
          <w:numId w:val="4"/>
        </w:numPr>
        <w:spacing w:after="0" w:line="240" w:lineRule="auto"/>
      </w:pPr>
      <w:r w:rsidRPr="00AB5DFF">
        <w:t xml:space="preserve">If 3.59 mL of a 0.040 M solution of </w:t>
      </w:r>
      <w:proofErr w:type="gramStart"/>
      <w:r w:rsidRPr="00AB5DFF">
        <w:t>Ca(</w:t>
      </w:r>
      <w:proofErr w:type="gramEnd"/>
      <w:r w:rsidRPr="00AB5DFF">
        <w:t>OH)</w:t>
      </w:r>
      <w:r w:rsidRPr="00AB5DFF">
        <w:rPr>
          <w:vertAlign w:val="subscript"/>
        </w:rPr>
        <w:t>2</w:t>
      </w:r>
      <w:r w:rsidRPr="00AB5DFF">
        <w:t xml:space="preserve"> is required to titrate 840.0 mL of </w:t>
      </w:r>
      <w:proofErr w:type="spellStart"/>
      <w:r w:rsidRPr="00AB5DFF">
        <w:t>HBr</w:t>
      </w:r>
      <w:proofErr w:type="spellEnd"/>
      <w:r w:rsidRPr="00AB5DFF">
        <w:t>, what is the concentration of the acid solution?</w:t>
      </w:r>
    </w:p>
    <w:sectPr w:rsidR="00AB5DFF" w:rsidRPr="00AB5DFF" w:rsidSect="0097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D94"/>
    <w:multiLevelType w:val="hybridMultilevel"/>
    <w:tmpl w:val="6AA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4B5E"/>
    <w:multiLevelType w:val="hybridMultilevel"/>
    <w:tmpl w:val="56CAF234"/>
    <w:lvl w:ilvl="0" w:tplc="6784AC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636C"/>
    <w:multiLevelType w:val="hybridMultilevel"/>
    <w:tmpl w:val="3B7E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23E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3830"/>
    <w:multiLevelType w:val="hybridMultilevel"/>
    <w:tmpl w:val="3B7E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23E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96A71"/>
    <w:multiLevelType w:val="hybridMultilevel"/>
    <w:tmpl w:val="3B7E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23E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33"/>
    <w:rsid w:val="000E6733"/>
    <w:rsid w:val="00110E7B"/>
    <w:rsid w:val="005B2FA4"/>
    <w:rsid w:val="007636A2"/>
    <w:rsid w:val="009707B2"/>
    <w:rsid w:val="00A846EC"/>
    <w:rsid w:val="00AB5DFF"/>
    <w:rsid w:val="00B01B77"/>
    <w:rsid w:val="00B40327"/>
    <w:rsid w:val="00CC2925"/>
    <w:rsid w:val="00DB0517"/>
    <w:rsid w:val="00F11970"/>
    <w:rsid w:val="00F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7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7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MMSD</dc:creator>
  <cp:lastModifiedBy>MMSD</cp:lastModifiedBy>
  <cp:revision>11</cp:revision>
  <cp:lastPrinted>2014-05-07T15:56:00Z</cp:lastPrinted>
  <dcterms:created xsi:type="dcterms:W3CDTF">2014-05-06T17:41:00Z</dcterms:created>
  <dcterms:modified xsi:type="dcterms:W3CDTF">2014-05-07T18:21:00Z</dcterms:modified>
</cp:coreProperties>
</file>