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466193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</w:t>
            </w:r>
            <w:r w:rsidR="003E1DB5">
              <w:rPr>
                <w:rFonts w:ascii="Arial Black" w:hAnsi="Arial Black" w:cs="Arial"/>
                <w:i/>
                <w:sz w:val="20"/>
                <w:szCs w:val="20"/>
              </w:rPr>
              <w:t xml:space="preserve">1  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B3735C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B6A1D4C" wp14:editId="10F2CA33">
                  <wp:extent cx="1371600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  <w:r w:rsidR="003E1DB5">
        <w:t>Checklist for this Friday’s test: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96"/>
      </w:tblGrid>
      <w:tr w:rsidR="00C96A92" w:rsidTr="0042425D">
        <w:tc>
          <w:tcPr>
            <w:tcW w:w="8496" w:type="dxa"/>
            <w:shd w:val="clear" w:color="auto" w:fill="BFBFBF" w:themeFill="background1" w:themeFillShade="BF"/>
          </w:tcPr>
          <w:p w:rsidR="003E1DB5" w:rsidRPr="003E1DB5" w:rsidRDefault="003E1DB5" w:rsidP="003E1DB5">
            <w:pPr>
              <w:pStyle w:val="title"/>
              <w:jc w:val="left"/>
              <w:rPr>
                <w:i/>
                <w:sz w:val="20"/>
              </w:rPr>
            </w:pPr>
            <w:r w:rsidRPr="003E1DB5">
              <w:rPr>
                <w:i/>
                <w:sz w:val="20"/>
              </w:rPr>
              <w:t>By the time we finish this unit, you should be able to: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Relate the molar concentration (molarity) of a solution to the number of moles and volume of the solution.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ab/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 xml:space="preserve">Beginning with a balanced equation and the volume and molarity of a reactant or product, 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ab/>
            </w:r>
            <w:proofErr w:type="gramStart"/>
            <w:r w:rsidRPr="003E1DB5">
              <w:rPr>
                <w:b w:val="0"/>
                <w:sz w:val="20"/>
              </w:rPr>
              <w:t>predict</w:t>
            </w:r>
            <w:proofErr w:type="gramEnd"/>
            <w:r w:rsidRPr="003E1DB5">
              <w:rPr>
                <w:b w:val="0"/>
                <w:sz w:val="20"/>
              </w:rPr>
              <w:t xml:space="preserve"> the moles of another reactant or product in the reaction.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ab/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Describe endothermic and exothermic reaction in terms of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energy bar graphs and system flow diagrams (LOLOL)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Balanced equations with a quantitative energy term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</w:r>
            <w:r w:rsidRPr="003E1DB5">
              <w:rPr>
                <w:b w:val="0"/>
                <w:sz w:val="20"/>
              </w:rPr>
              <w:sym w:font="Helvetica" w:char="F044"/>
            </w:r>
            <w:r w:rsidRPr="003E1DB5">
              <w:rPr>
                <w:b w:val="0"/>
                <w:sz w:val="20"/>
              </w:rPr>
              <w:t>H notation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ab/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 xml:space="preserve">Solve stoichiometry story problems.  Know the conversion factors for these: 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volume of a gas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volume of a solution, or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energy of reaction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And use these to determine stoichiometric relationships in a chemical reaction story problem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ab/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Vocabulary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Concentration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Molarity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Molarity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Endo-, exothermic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Enthalpy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Review Concepts:</w:t>
            </w:r>
          </w:p>
          <w:p w:rsidR="003E1DB5" w:rsidRPr="003E1DB5" w:rsidRDefault="003E1DB5" w:rsidP="003E1DB5">
            <w:pPr>
              <w:pStyle w:val="title"/>
              <w:jc w:val="left"/>
              <w:rPr>
                <w:b w:val="0"/>
                <w:sz w:val="20"/>
              </w:rPr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Solutions:  a homogeneous mixture of a solute dissolved in a solvent; dissolving process</w:t>
            </w:r>
          </w:p>
          <w:p w:rsidR="00C96A92" w:rsidRDefault="003E1DB5" w:rsidP="003E1DB5">
            <w:pPr>
              <w:pStyle w:val="title"/>
              <w:jc w:val="left"/>
            </w:pPr>
            <w:r w:rsidRPr="003E1DB5">
              <w:rPr>
                <w:b w:val="0"/>
                <w:sz w:val="20"/>
              </w:rPr>
              <w:t>•</w:t>
            </w:r>
            <w:r w:rsidRPr="003E1DB5">
              <w:rPr>
                <w:b w:val="0"/>
                <w:sz w:val="20"/>
              </w:rPr>
              <w:tab/>
              <w:t>Energy storage and transfer mechanisms in a molecular system; Energy constants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254A65" w:rsidRPr="007E44AE" w:rsidRDefault="00254A65" w:rsidP="000868AC">
      <w:pPr>
        <w:pStyle w:val="ListParagraph"/>
        <w:ind w:left="1440" w:firstLine="0"/>
      </w:pPr>
    </w:p>
    <w:p w:rsidR="007C1F86" w:rsidRDefault="007C1F86" w:rsidP="007C1F8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Which of these ratios </w:t>
      </w:r>
      <w:proofErr w:type="gramStart"/>
      <w:r>
        <w:t>are</w:t>
      </w:r>
      <w:proofErr w:type="gramEnd"/>
      <w:r>
        <w:t xml:space="preserve"> 'ONE'? In the box below each if the factor is true write True! </w:t>
      </w:r>
      <w:proofErr w:type="gramStart"/>
      <w:r>
        <w:t>if</w:t>
      </w:r>
      <w:proofErr w:type="gramEnd"/>
      <w:r>
        <w:t xml:space="preserve"> the factor is incorrect rewrite it so it isn't.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259"/>
        <w:gridCol w:w="1438"/>
        <w:gridCol w:w="329"/>
        <w:gridCol w:w="1569"/>
        <w:gridCol w:w="329"/>
        <w:gridCol w:w="1423"/>
        <w:gridCol w:w="259"/>
        <w:gridCol w:w="2463"/>
      </w:tblGrid>
      <w:tr w:rsidR="007C1F86" w:rsidTr="006168E2"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FC3901" w:rsidP="006168E2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year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365.25 days</m:t>
                    </m:r>
                  </m:den>
                </m:f>
              </m:oMath>
            </m:oMathPara>
          </w:p>
          <w:p w:rsidR="007C1F86" w:rsidRDefault="007C1F86" w:rsidP="006168E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FC3901" w:rsidP="007C1F86">
            <w:pPr>
              <w:ind w:left="2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22.4 moles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Ar gas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Arial"/>
                      </w:rPr>
                      <m:t>1 mole Ar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7C1F86" w:rsidRPr="00DF4FF8" w:rsidRDefault="00FC3901" w:rsidP="007C1F86">
            <w:pPr>
              <w:spacing w:before="120"/>
              <w:ind w:left="2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 players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2 baseball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teams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FC3901" w:rsidP="006168E2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inch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12 feet</m:t>
                    </m:r>
                  </m:den>
                </m:f>
              </m:oMath>
            </m:oMathPara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FC3901" w:rsidP="007C1F86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gram copper*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6.02x1023 atoms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of  copper</m:t>
                        </m:r>
                      </m:e>
                    </m:eqArr>
                  </m:den>
                </m:f>
              </m:oMath>
            </m:oMathPara>
          </w:p>
        </w:tc>
      </w:tr>
      <w:tr w:rsidR="007C1F86" w:rsidTr="006168E2">
        <w:trPr>
          <w:trHeight w:val="1233"/>
        </w:trPr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7C1F86" w:rsidRPr="00D03ACB" w:rsidRDefault="007C1F86" w:rsidP="006168E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</w:tr>
    </w:tbl>
    <w:p w:rsidR="007C1F86" w:rsidRDefault="007C1F86" w:rsidP="00A43FAA"/>
    <w:p w:rsidR="00C36900" w:rsidRDefault="00C36900" w:rsidP="00C36900">
      <w:pPr>
        <w:ind w:firstLine="0"/>
      </w:pPr>
    </w:p>
    <w:p w:rsidR="00C36900" w:rsidRDefault="00C36900" w:rsidP="00A43FAA"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6"/>
        <w:gridCol w:w="4330"/>
      </w:tblGrid>
      <w:tr w:rsidR="002C1C81" w:rsidTr="002C1C8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C81" w:rsidRDefault="002C1C81" w:rsidP="002C1C81">
            <w:pPr>
              <w:pStyle w:val="ListParagraph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0C2FBA48" wp14:editId="1E0A230B">
                  <wp:extent cx="21621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C81" w:rsidRDefault="002C1C81" w:rsidP="002C1C81">
            <w:pPr>
              <w:pStyle w:val="ListParagraph"/>
              <w:numPr>
                <w:ilvl w:val="0"/>
                <w:numId w:val="13"/>
              </w:numPr>
            </w:pPr>
            <w:r>
              <w:t xml:space="preserve">This is a </w:t>
            </w:r>
            <w:r w:rsidRPr="00C36900">
              <w:rPr>
                <w:u w:val="single"/>
              </w:rPr>
              <w:t>solid</w:t>
            </w:r>
            <w:r>
              <w:t xml:space="preserve"> chunk of sodium carbonate.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 xml:space="preserve">In the box draw an </w:t>
            </w:r>
            <w:r w:rsidRPr="002C1C81">
              <w:rPr>
                <w:u w:val="single"/>
              </w:rPr>
              <w:t>aqueous</w:t>
            </w:r>
            <w:r>
              <w:t xml:space="preserve"> chunk of the same substance.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 xml:space="preserve">Include eight water molecules.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>Make sure the waters are pointing in the right direction!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2C1C81" w:rsidRDefault="002C1C81" w:rsidP="002C1C81">
            <w:pPr>
              <w:pStyle w:val="ListParagraph"/>
              <w:ind w:left="0" w:firstLine="0"/>
            </w:pPr>
          </w:p>
        </w:tc>
      </w:tr>
    </w:tbl>
    <w:p w:rsidR="002C1C81" w:rsidRDefault="002C1C81" w:rsidP="002C1C81">
      <w:pPr>
        <w:pStyle w:val="ListParagraph"/>
        <w:ind w:firstLine="0"/>
      </w:pPr>
    </w:p>
    <w:p w:rsidR="002C1C81" w:rsidRDefault="002C1C81" w:rsidP="007C1F86">
      <w:pPr>
        <w:pStyle w:val="ListParagraph"/>
        <w:numPr>
          <w:ilvl w:val="0"/>
          <w:numId w:val="1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000"/>
      </w:tblGrid>
      <w:tr w:rsidR="00B764F6" w:rsidTr="00B764F6">
        <w:tc>
          <w:tcPr>
            <w:tcW w:w="3216" w:type="dxa"/>
            <w:vAlign w:val="center"/>
          </w:tcPr>
          <w:p w:rsidR="00B764F6" w:rsidRDefault="00B764F6" w:rsidP="00B764F6">
            <w:pPr>
              <w:pStyle w:val="ListParagraph"/>
              <w:numPr>
                <w:ilvl w:val="0"/>
                <w:numId w:val="13"/>
              </w:numPr>
              <w:jc w:val="right"/>
            </w:pPr>
            <w:r>
              <w:t xml:space="preserve">Which end </w:t>
            </w:r>
            <w:r>
              <w:t>of H</w:t>
            </w:r>
            <w:r w:rsidRPr="00B764F6">
              <w:rPr>
                <w:vertAlign w:val="subscript"/>
              </w:rPr>
              <w:t>2</w:t>
            </w:r>
            <w:r>
              <w:t xml:space="preserve">O </w:t>
            </w:r>
            <w:r>
              <w:t xml:space="preserve">has which electrical charge?  </w:t>
            </w:r>
            <w:r w:rsidRPr="00B764F6">
              <w:rPr>
                <w:u w:val="single"/>
              </w:rPr>
              <w:t>Circle</w:t>
            </w:r>
            <w:r>
              <w:t xml:space="preserve"> a correct choice in each </w:t>
            </w:r>
            <w:r>
              <w:t xml:space="preserve">parenthetical </w:t>
            </w:r>
            <w:r>
              <w:t>pair.</w:t>
            </w:r>
          </w:p>
        </w:tc>
        <w:tc>
          <w:tcPr>
            <w:tcW w:w="6000" w:type="dxa"/>
          </w:tcPr>
          <w:p w:rsidR="00B764F6" w:rsidRDefault="00B764F6" w:rsidP="00B764F6">
            <w:pPr>
              <w:pStyle w:val="ListParagraph"/>
              <w:ind w:left="0" w:firstLine="0"/>
            </w:pPr>
            <w:r>
              <w:rPr>
                <w:noProof/>
              </w:rPr>
              <w:drawing>
                <wp:inline distT="0" distB="0" distL="0" distR="0" wp14:anchorId="05EF1589" wp14:editId="4019CAE6">
                  <wp:extent cx="1818640" cy="141971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23" cy="142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4F6" w:rsidRDefault="00B764F6" w:rsidP="00B764F6">
      <w:pPr>
        <w:pStyle w:val="ListParagraph"/>
        <w:ind w:firstLine="0"/>
      </w:pPr>
    </w:p>
    <w:p w:rsidR="00DE3D70" w:rsidRDefault="00DE3D70" w:rsidP="00DE3D70">
      <w:pPr>
        <w:pStyle w:val="ListParagraph"/>
        <w:numPr>
          <w:ilvl w:val="0"/>
          <w:numId w:val="13"/>
        </w:numPr>
      </w:pPr>
      <w:r>
        <w:t xml:space="preserve">If two objects are electrically both positive, those objects will </w:t>
      </w:r>
      <w:proofErr w:type="gramStart"/>
      <w:r>
        <w:t>( repel</w:t>
      </w:r>
      <w:proofErr w:type="gramEnd"/>
      <w:r>
        <w:t xml:space="preserve"> / attract ).</w:t>
      </w:r>
    </w:p>
    <w:p w:rsidR="00DE3D70" w:rsidRDefault="00DE3D70" w:rsidP="00DE3D70">
      <w:pPr>
        <w:pStyle w:val="ListParagraph"/>
        <w:numPr>
          <w:ilvl w:val="0"/>
          <w:numId w:val="13"/>
        </w:numPr>
      </w:pPr>
      <w:r>
        <w:t xml:space="preserve">Opposite charges </w:t>
      </w:r>
      <w:proofErr w:type="gramStart"/>
      <w:r>
        <w:t>( attract</w:t>
      </w:r>
      <w:proofErr w:type="gramEnd"/>
      <w:r>
        <w:t xml:space="preserve"> / repel ).</w:t>
      </w:r>
    </w:p>
    <w:p w:rsidR="00DE3D70" w:rsidRDefault="00DE3D70" w:rsidP="00B764F6">
      <w:pPr>
        <w:pStyle w:val="ListParagraph"/>
        <w:ind w:firstLine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1"/>
        <w:gridCol w:w="4445"/>
      </w:tblGrid>
      <w:tr w:rsidR="00DE3D70" w:rsidTr="00DE3D7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70" w:rsidRDefault="00DE3D70" w:rsidP="00DE3D70">
            <w:pPr>
              <w:pStyle w:val="ListParagraph"/>
              <w:numPr>
                <w:ilvl w:val="0"/>
                <w:numId w:val="13"/>
              </w:numPr>
            </w:pPr>
            <w:r>
              <w:t>Things are facing in the wrong directions here.  Think about ‘opposites attract’ and draw things facing correctly in the box.</w:t>
            </w:r>
          </w:p>
          <w:p w:rsidR="00DE3D70" w:rsidRDefault="00DE3D70" w:rsidP="00DE3D70">
            <w:pPr>
              <w:pStyle w:val="ListParagraph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889BC80" wp14:editId="17113BB1">
                  <wp:extent cx="1885950" cy="1038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DE3D70" w:rsidRDefault="00DE3D70" w:rsidP="00B764F6">
            <w:pPr>
              <w:pStyle w:val="ListParagraph"/>
              <w:ind w:left="0" w:firstLine="0"/>
            </w:pPr>
          </w:p>
        </w:tc>
      </w:tr>
    </w:tbl>
    <w:p w:rsidR="00DE3D70" w:rsidRDefault="00DE3D70" w:rsidP="00B764F6">
      <w:pPr>
        <w:pStyle w:val="ListParagraph"/>
        <w:ind w:firstLine="0"/>
      </w:pPr>
    </w:p>
    <w:p w:rsidR="00A43FAA" w:rsidRDefault="00A43FAA" w:rsidP="00A43FAA">
      <w:pPr>
        <w:pStyle w:val="BodyTextIndent"/>
        <w:numPr>
          <w:ilvl w:val="0"/>
          <w:numId w:val="13"/>
        </w:numPr>
        <w:spacing w:line="360" w:lineRule="auto"/>
      </w:pPr>
      <w:r>
        <w:t>From memory, what is the formula of each</w:t>
      </w:r>
    </w:p>
    <w:p w:rsidR="00A43FAA" w:rsidRDefault="00A43FAA" w:rsidP="00A43FAA">
      <w:pPr>
        <w:pStyle w:val="BodyTextIndent"/>
        <w:spacing w:line="360" w:lineRule="auto"/>
        <w:ind w:left="720" w:firstLine="0"/>
      </w:pPr>
      <w:proofErr w:type="gramStart"/>
      <w:r>
        <w:t>carbonic</w:t>
      </w:r>
      <w:proofErr w:type="gramEnd"/>
      <w:r>
        <w:t xml:space="preserve"> acid _________________</w:t>
      </w:r>
    </w:p>
    <w:p w:rsidR="00A43FAA" w:rsidRDefault="00A43FAA" w:rsidP="00A43FAA">
      <w:pPr>
        <w:pStyle w:val="BodyTextIndent"/>
        <w:spacing w:line="360" w:lineRule="auto"/>
        <w:ind w:left="720" w:firstLine="0"/>
      </w:pPr>
      <w:proofErr w:type="gramStart"/>
      <w:r>
        <w:t>phosphoric</w:t>
      </w:r>
      <w:proofErr w:type="gramEnd"/>
      <w:r>
        <w:t xml:space="preserve"> acid_______________</w:t>
      </w:r>
    </w:p>
    <w:p w:rsidR="00A43FAA" w:rsidRDefault="00A43FAA" w:rsidP="00A43FAA">
      <w:pPr>
        <w:rPr>
          <w:szCs w:val="24"/>
        </w:rPr>
      </w:pPr>
    </w:p>
    <w:p w:rsidR="00A43FAA" w:rsidRPr="00B3735C" w:rsidRDefault="00A43FAA" w:rsidP="00A43FAA">
      <w:pPr>
        <w:rPr>
          <w:szCs w:val="24"/>
        </w:rPr>
      </w:pPr>
    </w:p>
    <w:p w:rsidR="00A43FAA" w:rsidRDefault="00A43FAA" w:rsidP="00A43FAA">
      <w:pPr>
        <w:pStyle w:val="ListParagraph"/>
        <w:numPr>
          <w:ilvl w:val="0"/>
          <w:numId w:val="13"/>
        </w:numPr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Natural gas contains 97% methane (CH</w:t>
      </w:r>
      <w:r>
        <w:rPr>
          <w:rFonts w:ascii="Times New Roman" w:eastAsia="MS Mincho" w:hAnsi="Times New Roman"/>
          <w:sz w:val="20"/>
          <w:vertAlign w:val="subscript"/>
        </w:rPr>
        <w:t>4</w:t>
      </w:r>
      <w:r>
        <w:rPr>
          <w:rFonts w:ascii="Times New Roman" w:eastAsia="MS Mincho" w:hAnsi="Times New Roman"/>
          <w:sz w:val="20"/>
        </w:rPr>
        <w:t>), 1.5% ethane (C</w:t>
      </w:r>
      <w:r>
        <w:rPr>
          <w:rFonts w:ascii="Times New Roman" w:eastAsia="MS Mincho" w:hAnsi="Times New Roman"/>
          <w:sz w:val="20"/>
          <w:vertAlign w:val="subscript"/>
        </w:rPr>
        <w:t>2</w:t>
      </w:r>
      <w:r>
        <w:rPr>
          <w:rFonts w:ascii="Times New Roman" w:eastAsia="MS Mincho" w:hAnsi="Times New Roman"/>
          <w:sz w:val="20"/>
        </w:rPr>
        <w:t>H</w:t>
      </w:r>
      <w:r>
        <w:rPr>
          <w:rFonts w:ascii="Times New Roman" w:eastAsia="MS Mincho" w:hAnsi="Times New Roman"/>
          <w:sz w:val="20"/>
          <w:vertAlign w:val="subscript"/>
        </w:rPr>
        <w:t>6</w:t>
      </w:r>
      <w:r>
        <w:rPr>
          <w:rFonts w:ascii="Times New Roman" w:eastAsia="MS Mincho" w:hAnsi="Times New Roman"/>
          <w:sz w:val="20"/>
        </w:rPr>
        <w:t>), 1% CO</w:t>
      </w:r>
      <w:r>
        <w:rPr>
          <w:rFonts w:ascii="Times New Roman" w:eastAsia="MS Mincho" w:hAnsi="Times New Roman"/>
          <w:sz w:val="20"/>
          <w:vertAlign w:val="subscript"/>
        </w:rPr>
        <w:t>2</w:t>
      </w:r>
      <w:r>
        <w:rPr>
          <w:rFonts w:ascii="Times New Roman" w:eastAsia="MS Mincho" w:hAnsi="Times New Roman"/>
          <w:sz w:val="20"/>
        </w:rPr>
        <w:t>, and 0.5% nitrogen gases.</w:t>
      </w:r>
    </w:p>
    <w:p w:rsidR="00A43FAA" w:rsidRDefault="00A43FAA" w:rsidP="00A43FAA">
      <w:pPr>
        <w:ind w:left="37" w:firstLine="0"/>
        <w:rPr>
          <w:rFonts w:ascii="Times New Roman" w:eastAsia="MS Mincho" w:hAnsi="Times New Roman"/>
          <w:b/>
          <w:sz w:val="20"/>
        </w:rPr>
      </w:pP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  <w:proofErr w:type="gramStart"/>
      <w:r>
        <w:rPr>
          <w:rFonts w:ascii="Times New Roman" w:eastAsia="MS Mincho" w:hAnsi="Times New Roman"/>
          <w:b/>
          <w:sz w:val="20"/>
        </w:rPr>
        <w:t>solvent  _</w:t>
      </w:r>
      <w:proofErr w:type="gramEnd"/>
      <w:r>
        <w:rPr>
          <w:rFonts w:ascii="Times New Roman" w:eastAsia="MS Mincho" w:hAnsi="Times New Roman"/>
          <w:b/>
          <w:sz w:val="20"/>
        </w:rPr>
        <w:t>_____________________</w:t>
      </w: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  <w:proofErr w:type="gramStart"/>
      <w:r>
        <w:rPr>
          <w:rFonts w:ascii="Times New Roman" w:eastAsia="MS Mincho" w:hAnsi="Times New Roman"/>
          <w:b/>
          <w:sz w:val="20"/>
        </w:rPr>
        <w:t>solute(s)</w:t>
      </w:r>
      <w:proofErr w:type="gramEnd"/>
      <w:r>
        <w:rPr>
          <w:rFonts w:ascii="Times New Roman" w:eastAsia="MS Mincho" w:hAnsi="Times New Roman"/>
          <w:b/>
          <w:sz w:val="20"/>
        </w:rPr>
        <w:t>:</w:t>
      </w:r>
    </w:p>
    <w:p w:rsidR="00B764F6" w:rsidRDefault="00B764F6" w:rsidP="00DE3D7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2"/>
        <w:gridCol w:w="4434"/>
      </w:tblGrid>
      <w:tr w:rsidR="00DE3D70" w:rsidTr="00B5079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70" w:rsidRDefault="00DE3D70" w:rsidP="00A43FAA">
            <w:pPr>
              <w:pStyle w:val="ListParagraph"/>
              <w:numPr>
                <w:ilvl w:val="0"/>
                <w:numId w:val="13"/>
              </w:numPr>
            </w:pPr>
            <w:r>
              <w:t>Things are facing in the wrong directions here.  Think about ‘opposites attract’ and draw things facing correctly in the box.</w:t>
            </w:r>
          </w:p>
          <w:p w:rsidR="00DE3D70" w:rsidRDefault="00DE3D70" w:rsidP="00B50790">
            <w:pPr>
              <w:pStyle w:val="ListParagraph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BD51FFD" wp14:editId="6A390E3D">
                  <wp:extent cx="1970689" cy="1648438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72" cy="164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DE3D70" w:rsidRDefault="00DE3D70" w:rsidP="00B50790">
            <w:pPr>
              <w:pStyle w:val="ListParagraph"/>
              <w:ind w:left="0" w:firstLine="0"/>
            </w:pPr>
          </w:p>
        </w:tc>
      </w:tr>
    </w:tbl>
    <w:p w:rsidR="00DE3D70" w:rsidRDefault="00DE3D70" w:rsidP="00DE3D70"/>
    <w:p w:rsidR="00DE3D70" w:rsidRDefault="00DE3D70" w:rsidP="00A43FAA">
      <w:pPr>
        <w:pStyle w:val="ListParagraph"/>
        <w:numPr>
          <w:ilvl w:val="0"/>
          <w:numId w:val="13"/>
        </w:numPr>
      </w:pPr>
      <w:r w:rsidRPr="007E44AE">
        <w:t xml:space="preserve">Suppose </w:t>
      </w:r>
      <w:r w:rsidR="00B3735C">
        <w:t>an excess of aluminum</w:t>
      </w:r>
      <w:r w:rsidRPr="007E44AE">
        <w:t xml:space="preserve"> was allowed to react with </w:t>
      </w:r>
      <w:r w:rsidR="005C007C">
        <w:t xml:space="preserve">45 mL of aqueous </w:t>
      </w:r>
      <w:r w:rsidR="00B3735C">
        <w:t>0.39M hydrochloric</w:t>
      </w:r>
      <w:r w:rsidR="005C007C">
        <w:t xml:space="preserve"> acid</w:t>
      </w:r>
      <w:r>
        <w:t xml:space="preserve"> </w:t>
      </w:r>
      <w:r w:rsidRPr="007E44AE">
        <w:t xml:space="preserve">to produce </w:t>
      </w:r>
      <w:r w:rsidR="00B3735C">
        <w:t>aluminum</w:t>
      </w:r>
      <w:r w:rsidRPr="007E44AE">
        <w:t xml:space="preserve"> chloride </w:t>
      </w:r>
      <w:r>
        <w:t xml:space="preserve">and hydrogen gas.  </w:t>
      </w:r>
      <w:r w:rsidR="00B3735C">
        <w:t>Assume the acid is the limiting reactant.</w:t>
      </w:r>
    </w:p>
    <w:p w:rsidR="00DE3D70" w:rsidRDefault="00B3735C" w:rsidP="00A43FAA">
      <w:pPr>
        <w:pStyle w:val="ListParagraph"/>
        <w:numPr>
          <w:ilvl w:val="1"/>
          <w:numId w:val="26"/>
        </w:numPr>
      </w:pPr>
      <w:r>
        <w:t xml:space="preserve">Write a balanced equation.  </w:t>
      </w:r>
    </w:p>
    <w:p w:rsidR="00B3735C" w:rsidRDefault="00B3735C" w:rsidP="00B3735C"/>
    <w:p w:rsidR="00B3735C" w:rsidRDefault="00B3735C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>If all of the acid reacts, how many moles of aluminum should react?</w:t>
      </w:r>
    </w:p>
    <w:p w:rsidR="00B3735C" w:rsidRDefault="00B3735C" w:rsidP="00B3735C"/>
    <w:p w:rsidR="00B3735C" w:rsidRDefault="00B3735C" w:rsidP="00B3735C"/>
    <w:p w:rsidR="00B3735C" w:rsidRDefault="00B3735C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 xml:space="preserve">If all of the acid reacts, how many grams of aluminum chloride will form? </w:t>
      </w:r>
    </w:p>
    <w:p w:rsidR="00B3735C" w:rsidRDefault="00B3735C" w:rsidP="00B3735C"/>
    <w:p w:rsidR="00B3735C" w:rsidRDefault="00B3735C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 xml:space="preserve">If all of the acid reacts, how many liters, at STP, of hydrogen should form? </w:t>
      </w:r>
    </w:p>
    <w:p w:rsidR="00B3735C" w:rsidRDefault="00B3735C" w:rsidP="00B3735C"/>
    <w:p w:rsidR="00B3735C" w:rsidRDefault="00B3735C" w:rsidP="00B3735C"/>
    <w:p w:rsidR="00B3735C" w:rsidRDefault="00B3735C" w:rsidP="00B3735C">
      <w:pPr>
        <w:pStyle w:val="ListParagraph"/>
        <w:ind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Directions:  Turn the following into balanced equations by filling in the blanks with the correct coefficients, formulas of ions or solids, and names.</w:t>
      </w:r>
    </w:p>
    <w:p w:rsidR="00B3735C" w:rsidRDefault="00B3735C" w:rsidP="00B3735C">
      <w:pPr>
        <w:ind w:firstLine="0"/>
        <w:rPr>
          <w:sz w:val="20"/>
        </w:rPr>
      </w:pPr>
    </w:p>
    <w:p w:rsidR="00B3735C" w:rsidRDefault="00B3735C" w:rsidP="00B3735C">
      <w:pPr>
        <w:ind w:firstLine="0"/>
      </w:pPr>
      <w:r>
        <w:tab/>
      </w:r>
      <w:proofErr w:type="spellStart"/>
      <w:r>
        <w:t>Cation</w:t>
      </w:r>
      <w:proofErr w:type="spellEnd"/>
      <w:r>
        <w:t xml:space="preserve">           Anion  </w:t>
      </w:r>
      <w:r>
        <w:tab/>
        <w:t xml:space="preserve">      </w:t>
      </w:r>
      <w:r>
        <w:tab/>
        <w:t>Formula</w:t>
      </w:r>
      <w:r>
        <w:tab/>
        <w:t xml:space="preserve">              Name</w:t>
      </w:r>
    </w:p>
    <w:p w:rsidR="00B3735C" w:rsidRDefault="00B3735C" w:rsidP="00B3735C">
      <w:pPr>
        <w:ind w:firstLine="0"/>
        <w:rPr>
          <w:sz w:val="20"/>
        </w:rPr>
      </w:pPr>
    </w:p>
    <w:p w:rsidR="00B3735C" w:rsidRDefault="00B3735C" w:rsidP="00A43FAA">
      <w:pPr>
        <w:pStyle w:val="ListParagraph"/>
        <w:numPr>
          <w:ilvl w:val="0"/>
          <w:numId w:val="13"/>
        </w:numPr>
      </w:pPr>
      <w:r>
        <w:t xml:space="preserve">_____  +  </w:t>
      </w:r>
      <w:r>
        <w:tab/>
        <w:t>_______</w:t>
      </w:r>
      <w:r>
        <w:tab/>
      </w:r>
      <w:r>
        <w:sym w:font="Symbol" w:char="F0AE"/>
      </w:r>
      <w:r>
        <w:t xml:space="preserve"> </w:t>
      </w:r>
      <w:r>
        <w:tab/>
        <w:t xml:space="preserve"> </w:t>
      </w:r>
      <w:proofErr w:type="spellStart"/>
      <w:r>
        <w:t>BaI</w:t>
      </w:r>
      <w:proofErr w:type="spellEnd"/>
      <w:r>
        <w:rPr>
          <w:position w:val="-4"/>
        </w:rPr>
        <w:t>2</w:t>
      </w:r>
      <w:r>
        <w:tab/>
      </w:r>
      <w:r>
        <w:tab/>
      </w:r>
      <w:r>
        <w:tab/>
        <w:t>_____________________</w:t>
      </w:r>
    </w:p>
    <w:p w:rsidR="00B3735C" w:rsidRDefault="00B3735C" w:rsidP="00B3735C">
      <w:pPr>
        <w:ind w:firstLine="0"/>
      </w:pPr>
    </w:p>
    <w:p w:rsidR="00B3735C" w:rsidRDefault="00B3735C" w:rsidP="00B3735C">
      <w:pPr>
        <w:ind w:firstLine="0"/>
      </w:pPr>
    </w:p>
    <w:p w:rsidR="00B3735C" w:rsidRDefault="00B3735C" w:rsidP="00A43FAA">
      <w:pPr>
        <w:pStyle w:val="ListParagraph"/>
        <w:numPr>
          <w:ilvl w:val="0"/>
          <w:numId w:val="13"/>
        </w:numPr>
      </w:pPr>
      <w:r>
        <w:t xml:space="preserve">______  +  _______  </w:t>
      </w:r>
      <w:r>
        <w:tab/>
      </w:r>
      <w:r>
        <w:tab/>
      </w:r>
      <w:r>
        <w:sym w:font="Symbol" w:char="F0AE"/>
      </w:r>
      <w:r>
        <w:t xml:space="preserve">  </w:t>
      </w:r>
      <w:r>
        <w:tab/>
        <w:t>_________</w:t>
      </w:r>
      <w:r>
        <w:tab/>
      </w:r>
      <w:r>
        <w:tab/>
        <w:t>iron (III) sulfide</w:t>
      </w:r>
      <w:r>
        <w:tab/>
      </w:r>
    </w:p>
    <w:p w:rsidR="00B3735C" w:rsidRDefault="00B3735C" w:rsidP="00B3735C">
      <w:pPr>
        <w:pStyle w:val="ListParagraph"/>
        <w:ind w:firstLine="0"/>
      </w:pPr>
    </w:p>
    <w:p w:rsidR="00DE3D70" w:rsidRDefault="00B3735C" w:rsidP="00A43FAA">
      <w:pPr>
        <w:pStyle w:val="ListParagraph"/>
        <w:numPr>
          <w:ilvl w:val="0"/>
          <w:numId w:val="13"/>
        </w:numPr>
      </w:pPr>
      <w:r>
        <w:t>You need to find the limiting reactant at some point to solve this one:</w:t>
      </w:r>
    </w:p>
    <w:p w:rsidR="00B3735C" w:rsidRDefault="00B3735C" w:rsidP="00B3735C">
      <w:pPr>
        <w:pStyle w:val="ListParagraph"/>
        <w:ind w:firstLine="0"/>
        <w:rPr>
          <w:szCs w:val="24"/>
        </w:rPr>
      </w:pPr>
      <w:r>
        <w:t xml:space="preserve">Determine the volume in liters of carbon dioxide that should be produced in the reaction between </w:t>
      </w:r>
      <w:r>
        <w:t>98.0</w:t>
      </w:r>
      <w:r>
        <w:t xml:space="preserve">.  </w:t>
      </w:r>
      <w:proofErr w:type="gramStart"/>
      <w:r>
        <w:t>g</w:t>
      </w:r>
      <w:proofErr w:type="gramEnd"/>
      <w:r>
        <w:t xml:space="preserve"> of carbon and </w:t>
      </w:r>
      <w:r>
        <w:t>5</w:t>
      </w:r>
      <w:r>
        <w:t xml:space="preserve">00. </w:t>
      </w:r>
      <w:proofErr w:type="gramStart"/>
      <w:r>
        <w:t>liters</w:t>
      </w:r>
      <w:proofErr w:type="gramEnd"/>
      <w:r>
        <w:t xml:space="preserve"> of O</w:t>
      </w:r>
      <w:r>
        <w:rPr>
          <w:position w:val="-4"/>
        </w:rPr>
        <w:t>2</w:t>
      </w:r>
      <w:r>
        <w:rPr>
          <w:szCs w:val="24"/>
        </w:rPr>
        <w:t xml:space="preserve">.   </w:t>
      </w:r>
      <w:r>
        <w:rPr>
          <w:szCs w:val="24"/>
        </w:rPr>
        <w:t>(Similar to the scissors sheet)</w:t>
      </w:r>
    </w:p>
    <w:p w:rsidR="00B3735C" w:rsidRDefault="00B3735C" w:rsidP="00B3735C">
      <w:pPr>
        <w:rPr>
          <w:szCs w:val="24"/>
        </w:rPr>
      </w:pPr>
    </w:p>
    <w:p w:rsidR="00B3735C" w:rsidRDefault="00B3735C" w:rsidP="00A43FAA">
      <w:pPr>
        <w:pStyle w:val="ListParagraph"/>
        <w:numPr>
          <w:ilvl w:val="0"/>
          <w:numId w:val="13"/>
        </w:numPr>
      </w:pPr>
      <w:r>
        <w:t>What is the formula for finding volume if you’re given moles and concentration?</w:t>
      </w:r>
    </w:p>
    <w:sectPr w:rsidR="00B3735C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D152C"/>
    <w:multiLevelType w:val="hybridMultilevel"/>
    <w:tmpl w:val="8A28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11BC"/>
    <w:multiLevelType w:val="hybridMultilevel"/>
    <w:tmpl w:val="0416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51015"/>
    <w:multiLevelType w:val="hybridMultilevel"/>
    <w:tmpl w:val="6ED0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813"/>
    <w:multiLevelType w:val="hybridMultilevel"/>
    <w:tmpl w:val="E5FC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C86"/>
    <w:multiLevelType w:val="hybridMultilevel"/>
    <w:tmpl w:val="F1109454"/>
    <w:lvl w:ilvl="0" w:tplc="04090011">
      <w:start w:val="1"/>
      <w:numFmt w:val="decimal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D352D"/>
    <w:multiLevelType w:val="hybridMultilevel"/>
    <w:tmpl w:val="7DCA2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A212D"/>
    <w:multiLevelType w:val="hybridMultilevel"/>
    <w:tmpl w:val="CB22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8148A"/>
    <w:multiLevelType w:val="hybridMultilevel"/>
    <w:tmpl w:val="24BED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2"/>
  </w:num>
  <w:num w:numId="5">
    <w:abstractNumId w:val="2"/>
  </w:num>
  <w:num w:numId="6">
    <w:abstractNumId w:val="8"/>
  </w:num>
  <w:num w:numId="7">
    <w:abstractNumId w:val="16"/>
  </w:num>
  <w:num w:numId="8">
    <w:abstractNumId w:val="6"/>
  </w:num>
  <w:num w:numId="9">
    <w:abstractNumId w:val="18"/>
  </w:num>
  <w:num w:numId="10">
    <w:abstractNumId w:val="23"/>
  </w:num>
  <w:num w:numId="11">
    <w:abstractNumId w:val="21"/>
  </w:num>
  <w:num w:numId="12">
    <w:abstractNumId w:val="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7"/>
  </w:num>
  <w:num w:numId="23">
    <w:abstractNumId w:val="14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3B17"/>
    <w:rsid w:val="00030412"/>
    <w:rsid w:val="000715BB"/>
    <w:rsid w:val="000868AC"/>
    <w:rsid w:val="000A647C"/>
    <w:rsid w:val="000B7969"/>
    <w:rsid w:val="000E2B6E"/>
    <w:rsid w:val="001234AA"/>
    <w:rsid w:val="001A5622"/>
    <w:rsid w:val="0021487E"/>
    <w:rsid w:val="00237BE5"/>
    <w:rsid w:val="00254A65"/>
    <w:rsid w:val="00263923"/>
    <w:rsid w:val="00281767"/>
    <w:rsid w:val="00283370"/>
    <w:rsid w:val="002B21E2"/>
    <w:rsid w:val="002C1C81"/>
    <w:rsid w:val="00346105"/>
    <w:rsid w:val="0036748C"/>
    <w:rsid w:val="003A169B"/>
    <w:rsid w:val="003E1DB5"/>
    <w:rsid w:val="003E47C9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C007C"/>
    <w:rsid w:val="005E2C76"/>
    <w:rsid w:val="00604311"/>
    <w:rsid w:val="006252E6"/>
    <w:rsid w:val="006A54B5"/>
    <w:rsid w:val="006B32F4"/>
    <w:rsid w:val="006D3967"/>
    <w:rsid w:val="00727D1E"/>
    <w:rsid w:val="007C1F86"/>
    <w:rsid w:val="00896601"/>
    <w:rsid w:val="00897C09"/>
    <w:rsid w:val="00916815"/>
    <w:rsid w:val="00992BF1"/>
    <w:rsid w:val="009E21EB"/>
    <w:rsid w:val="009E7A4E"/>
    <w:rsid w:val="009F74CB"/>
    <w:rsid w:val="00A43FAA"/>
    <w:rsid w:val="00AD46EC"/>
    <w:rsid w:val="00B06D8F"/>
    <w:rsid w:val="00B3735C"/>
    <w:rsid w:val="00B764F6"/>
    <w:rsid w:val="00B805D8"/>
    <w:rsid w:val="00BA7977"/>
    <w:rsid w:val="00BD40E7"/>
    <w:rsid w:val="00C36900"/>
    <w:rsid w:val="00C610C3"/>
    <w:rsid w:val="00C67CA7"/>
    <w:rsid w:val="00C96A92"/>
    <w:rsid w:val="00CA50A9"/>
    <w:rsid w:val="00CB3E70"/>
    <w:rsid w:val="00CD44BA"/>
    <w:rsid w:val="00D017D3"/>
    <w:rsid w:val="00D52E4D"/>
    <w:rsid w:val="00DE3D70"/>
    <w:rsid w:val="00E06FD9"/>
    <w:rsid w:val="00E12E2B"/>
    <w:rsid w:val="00E341E5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7C1F86"/>
    <w:rPr>
      <w:rFonts w:ascii="Century Schoolbook" w:hAnsi="Century Schoolbook"/>
      <w:sz w:val="24"/>
    </w:rPr>
  </w:style>
  <w:style w:type="paragraph" w:customStyle="1" w:styleId="title">
    <w:name w:val="title"/>
    <w:basedOn w:val="Normal"/>
    <w:rsid w:val="003E1DB5"/>
    <w:pPr>
      <w:jc w:val="center"/>
    </w:pPr>
    <w:rPr>
      <w:rFonts w:ascii="Helvetica" w:hAnsi="Helvetica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7C1F86"/>
    <w:rPr>
      <w:rFonts w:ascii="Century Schoolbook" w:hAnsi="Century Schoolbook"/>
      <w:sz w:val="24"/>
    </w:rPr>
  </w:style>
  <w:style w:type="paragraph" w:customStyle="1" w:styleId="title">
    <w:name w:val="title"/>
    <w:basedOn w:val="Normal"/>
    <w:rsid w:val="003E1DB5"/>
    <w:pPr>
      <w:jc w:val="center"/>
    </w:pPr>
    <w:rPr>
      <w:rFonts w:ascii="Helvetica" w:hAnsi="Helvetic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7</cp:revision>
  <cp:lastPrinted>2015-04-22T15:57:00Z</cp:lastPrinted>
  <dcterms:created xsi:type="dcterms:W3CDTF">2015-04-22T15:23:00Z</dcterms:created>
  <dcterms:modified xsi:type="dcterms:W3CDTF">2015-04-22T16:25:00Z</dcterms:modified>
</cp:coreProperties>
</file>